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679EE" w:rsidRDefault="00F679EE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 w:rsidRPr="00F679EE">
              <w:rPr>
                <w:rFonts w:ascii="Times New Roman" w:hAnsi="Times New Roman" w:cs="Times New Roman"/>
                <w:sz w:val="24"/>
                <w:szCs w:val="24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5D168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B4E5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Hrvatska književnost srednjeg vijeka i renesanse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6B4E5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F679E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F679EE" w:rsidRPr="00016A93" w:rsidRDefault="00016A93" w:rsidP="00F679E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016A93">
              <w:rPr>
                <w:rFonts w:ascii="Times New Roman" w:hAnsi="Times New Roman" w:cs="Times New Roman"/>
                <w:sz w:val="20"/>
              </w:rPr>
              <w:t>Integrirani preddiplomski i diplomski Učiteljski studij</w:t>
            </w:r>
          </w:p>
        </w:tc>
      </w:tr>
      <w:tr w:rsidR="00F679E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9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F679EE" w:rsidRPr="00FF1020" w:rsidRDefault="001218A3" w:rsidP="00F679E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F679E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F679E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F679EE" w:rsidRPr="00FF1020" w:rsidRDefault="001218A3" w:rsidP="00F679E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F679E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F679EE" w:rsidRPr="00FF1020" w:rsidRDefault="001218A3" w:rsidP="00F679E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16A93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  <w:r w:rsidR="00016A93">
              <w:rPr>
                <w:rFonts w:ascii="Merriweather" w:hAnsi="Merriweather" w:cs="Times New Roman"/>
                <w:sz w:val="16"/>
                <w:szCs w:val="20"/>
              </w:rPr>
              <w:t>5</w:t>
            </w:r>
          </w:p>
        </w:tc>
        <w:tc>
          <w:tcPr>
            <w:tcW w:w="415" w:type="dxa"/>
            <w:gridSpan w:val="4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F679EE" w:rsidRDefault="00F679EE" w:rsidP="00F679E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Odjel za izobrazbu učitelja i odgojitelja;</w:t>
            </w:r>
          </w:p>
          <w:p w:rsidR="00F679EE" w:rsidRPr="00F679EE" w:rsidRDefault="00016A93" w:rsidP="00F679E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35A27">
              <w:rPr>
                <w:rFonts w:ascii="Times New Roman" w:hAnsi="Times New Roman"/>
                <w:sz w:val="24"/>
                <w:szCs w:val="24"/>
              </w:rPr>
              <w:t>uč. 109, četvrtkom 15:00 – 16</w:t>
            </w:r>
            <w:r w:rsidR="00F679EE" w:rsidRPr="00F35A27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hrvatski jezik 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F679EE" w:rsidRPr="00FF1020" w:rsidRDefault="005D1688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 27. 2. 2023</w:t>
            </w:r>
            <w:r w:rsidR="00F679EE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F679EE" w:rsidRPr="00FF1020" w:rsidRDefault="005D1688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30. 9. 2023</w:t>
            </w:r>
            <w:r w:rsidR="00F679EE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679EE">
              <w:rPr>
                <w:rFonts w:ascii="Merriweather" w:hAnsi="Merriweather" w:cs="Times New Roman"/>
                <w:sz w:val="18"/>
              </w:rPr>
              <w:t>Nema preduvjeta.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F679EE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016A9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Robert Bacalja, red</w:t>
            </w:r>
            <w:r w:rsidR="00F679EE">
              <w:rPr>
                <w:rFonts w:ascii="Merriweather" w:hAnsi="Merriweather" w:cs="Times New Roman"/>
                <w:sz w:val="18"/>
              </w:rPr>
              <w:t xml:space="preserve">. prof. 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679EE" w:rsidRPr="00FF1020" w:rsidRDefault="00016A9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rbacalja</w:t>
            </w:r>
            <w:r w:rsidR="00F679EE" w:rsidRPr="00F679EE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679EE" w:rsidRPr="00F679EE" w:rsidRDefault="00285839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Kabinet br. 5</w:t>
            </w:r>
          </w:p>
          <w:p w:rsidR="00F679EE" w:rsidRPr="00FF1020" w:rsidRDefault="00543596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Utorkom</w:t>
            </w:r>
            <w:r w:rsidR="00285839">
              <w:rPr>
                <w:rFonts w:ascii="Merriweather" w:hAnsi="Merriweather" w:cs="Times New Roman"/>
                <w:sz w:val="18"/>
              </w:rPr>
              <w:t>: 11-12 sati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543596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3596">
              <w:rPr>
                <w:rFonts w:ascii="Merriweather" w:hAnsi="Merriweather" w:cs="Times New Roman"/>
                <w:sz w:val="18"/>
              </w:rPr>
              <w:t>Jelena Alfirević</w:t>
            </w:r>
            <w:r>
              <w:rPr>
                <w:rFonts w:ascii="Merriweather" w:hAnsi="Merriweather" w:cs="Times New Roman"/>
                <w:sz w:val="18"/>
              </w:rPr>
              <w:t xml:space="preserve"> Franić</w:t>
            </w:r>
            <w:r w:rsidRPr="00543596">
              <w:rPr>
                <w:rFonts w:ascii="Merriweather" w:hAnsi="Merriweather" w:cs="Times New Roman"/>
                <w:sz w:val="18"/>
              </w:rPr>
              <w:t>, mag.philol.croat.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543596" w:rsidRPr="00E8763C">
                <w:rPr>
                  <w:rStyle w:val="Hyperlink"/>
                  <w:rFonts w:ascii="Merriweather" w:hAnsi="Merriweather" w:cs="Times New Roman"/>
                  <w:sz w:val="18"/>
                </w:rPr>
                <w:t>jalfirevi@unizd.hr</w:t>
              </w:r>
            </w:hyperlink>
            <w:r w:rsidR="00543596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679EE" w:rsidRDefault="00543596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Kabinet br. 114</w:t>
            </w:r>
          </w:p>
          <w:p w:rsidR="00543596" w:rsidRPr="00F35A27" w:rsidRDefault="00543596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35A27">
              <w:rPr>
                <w:rFonts w:ascii="Merriweather" w:hAnsi="Merriweather" w:cs="Times New Roman"/>
                <w:sz w:val="18"/>
              </w:rPr>
              <w:t>Č</w:t>
            </w:r>
            <w:r w:rsidR="00262589" w:rsidRPr="00F35A27">
              <w:rPr>
                <w:rFonts w:ascii="Merriweather" w:hAnsi="Merriweather" w:cs="Times New Roman"/>
                <w:sz w:val="18"/>
              </w:rPr>
              <w:t>etvrtkom: 16:30- 17:</w:t>
            </w:r>
            <w:r w:rsidRPr="00F35A27">
              <w:rPr>
                <w:rFonts w:ascii="Merriweather" w:hAnsi="Merriweather" w:cs="Times New Roman"/>
                <w:sz w:val="18"/>
              </w:rPr>
              <w:t>30</w:t>
            </w:r>
            <w:r w:rsidR="00C136BA">
              <w:rPr>
                <w:rFonts w:ascii="Merriweather" w:hAnsi="Merriweather" w:cs="Times New Roman"/>
                <w:sz w:val="18"/>
              </w:rPr>
              <w:t xml:space="preserve"> i prema dogovoru</w:t>
            </w:r>
            <w:bookmarkStart w:id="0" w:name="_GoBack"/>
            <w:bookmarkEnd w:id="0"/>
          </w:p>
          <w:p w:rsidR="00262589" w:rsidRPr="00F35A27" w:rsidRDefault="00262589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:rsidR="00262589" w:rsidRPr="00FF1020" w:rsidRDefault="00262589" w:rsidP="00016A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35A27">
              <w:rPr>
                <w:rFonts w:ascii="Merriweather" w:hAnsi="Merriweather" w:cs="Times New Roman"/>
                <w:sz w:val="18"/>
              </w:rPr>
              <w:t>e-konzultacije srijedom</w:t>
            </w:r>
            <w:r w:rsidR="00016A93" w:rsidRPr="00F35A27">
              <w:rPr>
                <w:rStyle w:val="FootnoteReference"/>
                <w:rFonts w:ascii="Merriweather" w:hAnsi="Merriweather" w:cs="Times New Roman"/>
                <w:sz w:val="18"/>
              </w:rPr>
              <w:footnoteReference w:id="2"/>
            </w:r>
            <w:r w:rsidRPr="00F35A27">
              <w:rPr>
                <w:rFonts w:ascii="Merriweather" w:hAnsi="Merriweather" w:cs="Times New Roman"/>
                <w:sz w:val="18"/>
              </w:rPr>
              <w:t>: 10:00 – 11:00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679EE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679EE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F679E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679E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016A93" w:rsidRPr="00135765" w:rsidRDefault="00016A93" w:rsidP="00016A93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Nakon položenog ispita iz ovog kolegija studenti će biti sposobni:</w:t>
            </w:r>
          </w:p>
          <w:p w:rsidR="00016A93" w:rsidRPr="00135765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imenovati autore i prepoznati književna dje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iz razdoblja hrvatskog srednjeg vijeka i renesanse</w:t>
            </w: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 ih smjestiti u kontekst jezično-književnih regija</w:t>
            </w:r>
          </w:p>
          <w:p w:rsidR="00016A93" w:rsidRPr="00135765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epoznati ključne značajke srednjeg vijeka i renesanse</w:t>
            </w: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kao književnih poetika i perioda te idejno-povijesnih konteksta</w:t>
            </w:r>
          </w:p>
          <w:p w:rsidR="00016A93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samostalno analizirati i interpretirati odabrane tekstove te prepoznati njihova žanrovska i stilska obilježja i tematske preokupacije</w:t>
            </w:r>
          </w:p>
          <w:p w:rsidR="00016A93" w:rsidRPr="00135765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temelju pročitanih lektirnih djela stilski i sadržajno analizirati poetike autora i književnog razdoblja</w:t>
            </w:r>
          </w:p>
          <w:p w:rsidR="00016A93" w:rsidRPr="00135765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razumjeti sekundarnu literaturu vezanu za odabrane tekstove i diskutirati o njoj</w:t>
            </w:r>
          </w:p>
          <w:p w:rsidR="00016A93" w:rsidRPr="00135765" w:rsidRDefault="00016A93" w:rsidP="00016A93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>razmotriti doprinos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hrvatskog srednjeg vijeka i renesanse</w:t>
            </w:r>
            <w:r w:rsidRPr="00135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europskom kontekstu</w:t>
            </w:r>
          </w:p>
          <w:p w:rsidR="00F679EE" w:rsidRPr="00543596" w:rsidRDefault="00016A93" w:rsidP="00016A9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3644D6">
              <w:rPr>
                <w:rFonts w:ascii="Times New Roman" w:eastAsia="Calibri" w:hAnsi="Times New Roman" w:cs="Times New Roman"/>
                <w:sz w:val="24"/>
                <w:szCs w:val="24"/>
              </w:rPr>
              <w:t>primijeniti stečena znanja u samostalnoj obradi teme seminarskog rada</w:t>
            </w:r>
          </w:p>
        </w:tc>
      </w:tr>
      <w:tr w:rsidR="00F679E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543596" w:rsidRPr="00543596" w:rsidRDefault="00543596" w:rsidP="00543596">
            <w:pPr>
              <w:tabs>
                <w:tab w:val="left" w:pos="1218"/>
              </w:tabs>
              <w:spacing w:before="20" w:after="2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3" w:rsidRPr="00085DD7" w:rsidRDefault="00016A93" w:rsidP="00016A9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D7">
              <w:rPr>
                <w:rFonts w:ascii="Times New Roman" w:hAnsi="Times New Roman" w:cs="Times New Roman"/>
                <w:sz w:val="24"/>
                <w:szCs w:val="24"/>
              </w:rPr>
              <w:t>razumijevanje poetike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rvatskog književnog naslijeđa 15. i 16</w:t>
            </w:r>
            <w:r w:rsidRPr="00085DD7">
              <w:rPr>
                <w:rFonts w:ascii="Times New Roman" w:hAnsi="Times New Roman" w:cs="Times New Roman"/>
                <w:sz w:val="24"/>
                <w:szCs w:val="24"/>
              </w:rPr>
              <w:t>. stoljeća</w:t>
            </w:r>
          </w:p>
          <w:p w:rsidR="00016A93" w:rsidRPr="00085DD7" w:rsidRDefault="00016A93" w:rsidP="00016A9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85DD7">
              <w:rPr>
                <w:rFonts w:ascii="Times New Roman" w:hAnsi="Times New Roman" w:cs="Times New Roman"/>
                <w:sz w:val="24"/>
                <w:szCs w:val="24"/>
              </w:rPr>
              <w:t>korelacij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književnih vrsta i postupaka prema</w:t>
            </w:r>
            <w:r w:rsidRPr="00085DD7">
              <w:rPr>
                <w:rFonts w:ascii="Times New Roman" w:hAnsi="Times New Roman" w:cs="Times New Roman"/>
                <w:sz w:val="24"/>
                <w:szCs w:val="24"/>
              </w:rPr>
              <w:t xml:space="preserve"> kontekstu europskih književnih pojava</w:t>
            </w:r>
          </w:p>
          <w:p w:rsidR="00F679EE" w:rsidRPr="00FF1020" w:rsidRDefault="00F679EE" w:rsidP="00016A93">
            <w:pPr>
              <w:tabs>
                <w:tab w:val="left" w:pos="1218"/>
              </w:tabs>
              <w:spacing w:before="20" w:after="20"/>
              <w:ind w:left="720"/>
              <w:contextualSpacing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679EE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679EE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679EE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679EE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679EE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543596" w:rsidRPr="00543596" w:rsidRDefault="00543596" w:rsidP="0054359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6">
              <w:rPr>
                <w:rFonts w:ascii="Times New Roman" w:hAnsi="Times New Roman" w:cs="Times New Roman"/>
                <w:sz w:val="24"/>
                <w:szCs w:val="24"/>
              </w:rPr>
              <w:t>Redovito pohađanje nastave, aktivno sudjelovanje na nastavi i u izvršavanju zadanih zadataka, pisanje istraživačkih zadataka, izrada i  prezentacija seminarskog rada, poštivanje ortoepije i ortografije hrvatskog standardnog jezika u svim oblicima jezičnog izražavanja. Smatra se da student nije izvrši</w:t>
            </w:r>
            <w:r w:rsidR="00016A93">
              <w:rPr>
                <w:rFonts w:ascii="Times New Roman" w:hAnsi="Times New Roman" w:cs="Times New Roman"/>
                <w:sz w:val="24"/>
                <w:szCs w:val="24"/>
              </w:rPr>
              <w:t>o svoje nastavne obaveze ako</w:t>
            </w:r>
            <w:r w:rsidRPr="00543596">
              <w:rPr>
                <w:rFonts w:ascii="Times New Roman" w:hAnsi="Times New Roman" w:cs="Times New Roman"/>
                <w:sz w:val="24"/>
                <w:szCs w:val="24"/>
              </w:rPr>
              <w:t xml:space="preserve"> je izostao s 20% nastave. Nastavnik evidentira prisutnost studenata na početku svakog sata.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9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679EE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679EE" w:rsidRPr="00FF1020" w:rsidRDefault="005D1688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t>12. 6. 2023. – 14. 7. 2023</w:t>
            </w:r>
            <w:r w:rsidR="00543596">
              <w:t>.</w:t>
            </w:r>
          </w:p>
        </w:tc>
        <w:tc>
          <w:tcPr>
            <w:tcW w:w="2112" w:type="dxa"/>
            <w:gridSpan w:val="7"/>
            <w:vAlign w:val="center"/>
          </w:tcPr>
          <w:p w:rsidR="00F679EE" w:rsidRPr="00FF1020" w:rsidRDefault="005D1688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t>1. 9. 2023. – 30. 9. 2023</w:t>
            </w:r>
            <w:r w:rsidR="00543596">
              <w:t xml:space="preserve">. 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543596" w:rsidRDefault="00016A93" w:rsidP="00016A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Sadržaj kolegija obuhvaća početke pismenosti, srednjovjekovnu i renesansnu književnost. U preglednom pristupu anonimne srednjovjekovne književnosti dominiraju žanrovi koji su karakteristični samo za određeno razdoblje: historijski i pravi spomenici, biblijski i liturgijski tekstovi, apokrifi, prenja, vizije, čudesa Marijina, svetačke legende, priče i romani, poučna proza, pjesme i dramsko stvaralaštvo. Okretanjem svjetovnim temama u prvi plan dolaze pisci splitskog kruga s Markom Marulićem; dubrovačkog kruga i pjesnici Šiško Menčetić, Đore Držić; hvarskog kruga i pjesnici Hanibal Lucić i Petar Hektorović; zadarski krug i Petar Zoranić. Renesansnom komedijom u Dubrovniku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kojom</w:t>
            </w: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 xml:space="preserve"> dominira Marin Držić.</w:t>
            </w:r>
          </w:p>
          <w:p w:rsidR="00016A93" w:rsidRDefault="00016A93" w:rsidP="00016A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3" w:rsidRDefault="00016A93" w:rsidP="00016A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93" w:rsidRPr="00F33449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33449">
              <w:rPr>
                <w:rFonts w:ascii="Times New Roman" w:hAnsi="Times New Roman" w:cs="Times New Roman"/>
                <w:sz w:val="24"/>
                <w:szCs w:val="24"/>
              </w:rPr>
              <w:t>Uvod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kolegij: sadržaj, obveze studenata, literatura.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Uvod u hrvatsku književnost srednjeg vijeka, književnopovijesne značajke, žanrovski sustav.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Srednjovjekovna lirika.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Srednjovjekovna proza: svjetovni romani, apokrifi.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Srednjovjekovna proza II: vizije, mirakuli, svetačke legende.</w:t>
            </w:r>
          </w:p>
          <w:p w:rsidR="00016A93" w:rsidRPr="00242F57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Srednjovjekovna drama i kazalište, crkvena prikazanja.</w:t>
            </w:r>
          </w:p>
          <w:p w:rsidR="00016A93" w:rsidRPr="00242F57" w:rsidRDefault="00285839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Sinteza hrvatske srednjovjekovne književnosti.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Uvod u hrvatsku književnost 15. i 16. stoljeća. Pojmovi humanizam i renesansa. Teme i književne vrste.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Lirika u 15. i 16. stoljeću: ljubavna, religiozna, didaktička, satirička.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Naracija u 16. stoljeću: biblijska i povijesna epika.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Naracija u 16. stoljeću II: Ribanje i ribarsko prigovaranje, Planine.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Dramske vrste i kazalište u 16. stoljeću: religiozna drama.</w:t>
            </w:r>
          </w:p>
          <w:p w:rsidR="00016A93" w:rsidRDefault="00016A93" w:rsidP="00016A9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Dramske vrste i kazalište u 16. stoljeću II: pastoralna drama.</w:t>
            </w:r>
          </w:p>
          <w:p w:rsidR="00016A93" w:rsidRDefault="00016A93" w:rsidP="00285839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Dramske vrste i kazalište u 16 stoljeću III: komedija.</w:t>
            </w:r>
          </w:p>
          <w:p w:rsidR="00285839" w:rsidRPr="00285839" w:rsidRDefault="00285839" w:rsidP="00285839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Sinteza hrvatske srednjovjekovne i renesansne književnosti i evaluacija semestra.</w:t>
            </w:r>
          </w:p>
          <w:p w:rsidR="00285839" w:rsidRPr="00543596" w:rsidRDefault="00285839" w:rsidP="00016A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Hercigonja,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Eduard,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Srednjovjekovna književnost.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 hrvatske književnosti, knj. 2, Zagreb 1975. 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Hrvatska književnost srednjeg vijeka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PSHKNJ, knj. 1. priredio V. Štefanić, Zagreb 1969. predgovor knjizi i predgovori uz izabrane tekstove.</w:t>
            </w:r>
          </w:p>
          <w:p w:rsidR="00285839" w:rsidRDefault="00285839" w:rsidP="0028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Kombol,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Mihovil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 hrvatske književnosti do narodnog preporoda, 2. izdanje. Zagreb 1961.</w:t>
            </w:r>
          </w:p>
          <w:p w:rsid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7A1242">
              <w:rPr>
                <w:rFonts w:ascii="Times New Roman" w:eastAsia="MS Gothic" w:hAnsi="Times New Roman" w:cs="Times New Roman"/>
                <w:sz w:val="24"/>
                <w:szCs w:val="24"/>
              </w:rPr>
              <w:t>Slobodan Prosperov Novak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, </w:t>
            </w:r>
            <w:r w:rsidRPr="007A1242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Od humanističkih početaka do Kašićeve ilirske gramatike 1604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., Povijest hrvatske književnosti, knjiga II., Zagreb, 1997.</w:t>
            </w:r>
          </w:p>
          <w:p w:rsid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Fališevac, Dunja, Stari pisci hrvatski i njihove poetike, Zagreb, 1989.</w:t>
            </w:r>
          </w:p>
          <w:p w:rsidR="00285839" w:rsidRPr="00A131E4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131E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Batušić, Nikola: Povijest hrvatskoga kazališta, Zagreb, 1978.  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Hrvatska književnost srednjeg vijeka. PSHK, knj. 1. priredio: V. Štefanić, Zagreb 1969. 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Pjesme Šiška Menčetića i Đore Držića, i ostale pjeme Ranjinina zbornika, 2. izd., priredio: M. Rešetar, SPH. II, Zagreb 1937.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Džore Držić,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Pjesmi ljuvene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priredio J. Hamm, SPH, knj. 33, Zagreb 1965.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Marko Marulić,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Judita. Suzana. Pjesme, 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PSHK, knj. 4. priredio: I. Slamnig, Zagreb 1978.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Hanibal Lucić,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Robinja, pjesme,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PSHK, knj. 7. priredio M. Franičević, Zagreb 1968.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Petar Hektorović,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Ribanje i ribarsko prigovaranje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pjesme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SPH, knj. XXXXIX, priredio J. Vončina, Zagreb 1986.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Petar Zoranić,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Planine. 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SPH, knj. XLI, priredio: J. Vončina, Zagreb 1988.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Mavro Vetranović,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Pjesme, 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SPH, knj. III, priredio: V. Jagić i A. Kaznačić, Zagreb 1871.</w:t>
            </w:r>
          </w:p>
          <w:p w:rsidR="00285839" w:rsidRPr="007A1242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 Držić, </w:t>
            </w:r>
            <w:r w:rsidRPr="007A1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Djela, </w:t>
            </w:r>
            <w:r w:rsidRPr="007A12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priredio: F. Čale, Zagreb 1979.</w:t>
            </w:r>
          </w:p>
          <w:p w:rsidR="00F679EE" w:rsidRPr="00285839" w:rsidRDefault="00285839" w:rsidP="002858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proofErr w:type="spellStart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Juraj</w:t>
            </w:r>
            <w:proofErr w:type="spellEnd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 </w:t>
            </w:r>
            <w:proofErr w:type="spellStart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Baraković</w:t>
            </w:r>
            <w:proofErr w:type="spellEnd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, </w:t>
            </w:r>
            <w:r w:rsidRPr="007A1242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Vila </w:t>
            </w:r>
            <w:proofErr w:type="spellStart"/>
            <w:r w:rsidRPr="007A1242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val="en-US" w:eastAsia="ja-JP"/>
                <w14:ligatures w14:val="standardContextual"/>
              </w:rPr>
              <w:t>Slovinka</w:t>
            </w:r>
            <w:proofErr w:type="spellEnd"/>
            <w:r w:rsidRPr="007A1242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, </w:t>
            </w:r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PSHK, </w:t>
            </w:r>
            <w:proofErr w:type="spellStart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knj</w:t>
            </w:r>
            <w:proofErr w:type="spellEnd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. 8, </w:t>
            </w:r>
            <w:proofErr w:type="spellStart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priredio</w:t>
            </w:r>
            <w:proofErr w:type="spellEnd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 xml:space="preserve">: F. </w:t>
            </w:r>
            <w:proofErr w:type="spellStart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Švelec</w:t>
            </w:r>
            <w:proofErr w:type="spellEnd"/>
            <w:r w:rsidRPr="007A1242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ja-JP"/>
                <w14:ligatures w14:val="standardContextual"/>
              </w:rPr>
              <w:t>, Zagreb 1964.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Banac, Ivo - Novak, Slobodan Prosperov – Sbutega, Branko: Stara književnost Boke, Zagreb, 1993. (V. Mirko Kratofil: Literatura za povijest starije književnosti Boke.)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Bartolić,  Zvonimir: Sjevernohrvatske teme, 1-4, Čakovec, 1980-1989. Bučar, Franjo: Povijest hrvatske protestantske književnosti za reformacije, Zagreb, 1910, (Crtice iz hrvatske književnosti, sv. 5)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Budiša, Dražen: Počeci tiskarstva u europskih naroda, Zagreb, 1984. Bogdan, Tomislav: Lice ljubavi, Zagreb, 2002.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Čale, Frano (priredio): Marin Držić. Djela, 1979, 2. izdanje. Zagreb, 1987. Čale, Frano: Petrarca i petrarkizam, Zagreb, 1971. D. Birnbaum, Marianna: Croatian and Hungarian Latinity in the Sixteenth Century,  Zagreb, Dubrovnik, 1993.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Dani hvarskog kazališta, 3, Renesansna drama i kazalište, Split, 1976, 378 str. 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Fališevac, Dunja: „Elementi grotesknog i fantastičnog u Vetranovićevu 'Pelegrinu'”, Mogućnosti, 1988, br. 1-2, str. 161-172.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Fališevac, Dunja: „Marulićeva šaljiva - satirična poezija“, Republika, 7, 1986, br. 3-4.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Fališevac, Dunja: Stari pisci hrvatski i njihove poetike, Zagreb, 1989. Fisković, Cvito: Baština starih hrvatskih pisaca, Split, 1971, sv 1; 2. 19782. Fisković, Cvito: Eseji. Split, 1982.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Jembrih, Alojz: Hrvatski filološki aspekti, Osijek, 1990, 210 str.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Kolumbić, Nikica: Hrvatska književnost od humanizma do manirizma, Zagreb, 1980. 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Kombol, Mihovil: Povijest hrvatske književnosti do narodnog preporoda, Zagreb, 1945. (II. izd. 1961).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Košuta, Leo: „Il mondo vero e il mondo a rovescio in 'Dundo Maroje' di Marino Darsa (Marin Držić)“, Ricerche slavistiche, 12, 1964, str. 65-122. Košuta, Leo: „Siena nella vita e nell’opera di Marino Darsa“, Ricerche slavistiche, 9, 1961, str. 61-121.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Kravar, Zoran: „Emblematika Vetranovićeva ‚Pelegrina’”, Filologija, 10, 1980-81.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Macan, Trpimir: Povijest hrvatskog naroda, Zagreb, 1992.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Matić, Tomo: Prosvjetni i književni rad u Slavoniji prije preporoda, Zagreb, 1945.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Mrdeža Antonina Divna: Čtijuć i mnijuć, Od književnoga ranonovovjekovlja k novovjekovlju, s različitih motrišta, Zagreb, 2004.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Novak, Slobodan Prosperov  - Lisac, Josip: Hrvatska drama do narodnog preporoda, sv. 2, Split, 1984. 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Novak, Slobodan Prosperov: „Hrvatske dramske robinje“, Dani hvarskog kazališta, 3, Renesansna drama i kazalište, Split, 1976, str. 185-204. Novak, Slobodan Prosperov: „Otkriće Vetranovićeve ‚Istorije od Dijane’ u Milanu i Perastu“, Forum, 21, 1982, br. 1-3, str. 88-100. U istom broju Foruma v. članke J. Vončine, G. Brajkovića.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Novak, Slobodan Prosperov: Planeta Držić, Zagreb, 1984, 154 str. (19962) Pantić, Miroslav: Književnost na tlu Crne Gore i Boke Kotorske od XVI do XVIII veka. Beograd, 1990.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Pavličić, Pavao: „Judita i Osman kao tipovi epa“, Umjetnost riječi, 20, 1976, br. 4.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Pederin, Ivan: Začinjavci, štioci i pregaoci, Zagreb, 1977.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Petković, Milivoj: Dubrovačke maskerate, Beograd, 1950.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Petrarca i petrarkizam u hrvatskoj književnosti, zbornik radova, ur. Bratislav Lučin i Mirko Tomasović, Split, 2006.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Petrarca i petrarkizam u slavenskim zemljama. Radovi Međunarodnog simpozija, Petrarca e il petrarchismo nei paesi slavi. Atti del convegno internazionale. Dubrovnik, 6-9. XI. 1974, Zagreb, JAZU, 1984, sv. 1 i 2. Petrović, Svetozar: Problem soneta u starijoj hrvatskoj književnosti, Rad JAZU, 350, 1968.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Ravlić,  Jakša (uredio): Marin Držić. Zbornik radova, Zagreb, 1969.  Sigetska epopeja od Karnarutića do Vitezovića (1584-1684), Zbornik radova Zadar, 1986.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Slamnig, Ivan: Hrvatska versifikacija, Zagreb, 1981.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Slamnig, Ivan: „Marko Marulić, kozmopolit i patriot“, u: Hrvatska književnost u europskom kontekstu, Zagreb, 1978.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Šojat, Olga: Pregled hrvatske kajkavske književnosti od polovine 16. do polovine 19. stoljeća i jezično-grafijska borba uoči i za vrijeme Ilirizma u: Hrvatski kajkavski pisci 1, 1977, str. 769. (Pet stoljeća hrvatske književnosti, sv. 15/I.)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Švelec, Franjo: Komički teatar Marina Držića. Zagreb, 1968.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Švelec, Franjo: Osnovi Zoranićeve poetike, Radovi Filozofskog fakulteta u Zadru, 3, 1964, str. 99-116.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Tomasović, Mirko: Dinko Ranjina - Philippe Desportes. Zagreb, “Most/The Bridge”, 1994.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Tomasović, Mirko: „Hrvatska renesansna književnost u europskom kontekstu“, u: Hrvatska književnost u europskom kontekstu, Zagreb, 1978. Tomasović, Mirko: Marko Marulić Marul, Zagreb, 1989, (Nedjeljka Paro, Bibliografija radova o Marku Maruliću.)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>Tomasović, Mirko: „Mavro Vetranović u hrvatskoj književnoj historiografiji“, Croatica, 8, 1977, br. 9-10, str. 81-93.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Tomasović, Mirko: O hrvatskoj književnosti i romanskoj tradiciji, Zagreb 1978.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Tomasović, Mirko: Poeti i začinjavci, Dubrovnik,  1991.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Tomasović, Mirko: „Zoranić i Petrarka“, Forum, 14, 1975, br. 1-2, str. 36-58.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Torbarina, Josip: „Hektorovićevo ‚Ribanje’ u kontekstu europske tradicije“, Forum, 8, 1969, br. 3, str. 325-354.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Torbarina, Josip: Italian Influence on the Poets of the Ragusan Republic, London, Williams and Norgate, 243 str. </w:t>
            </w:r>
          </w:p>
          <w:p w:rsidR="00285839" w:rsidRPr="00285839" w:rsidRDefault="00285839" w:rsidP="002858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Torbarina, Josip: „Strani elementi i domaća tradicija u Zoranićevim 'Planinama'”, Zadarska revija, 8, 1959, br. 1, str. 7-24. </w:t>
            </w:r>
          </w:p>
          <w:p w:rsidR="00F679EE" w:rsidRPr="00543596" w:rsidRDefault="00285839" w:rsidP="00285839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839">
              <w:rPr>
                <w:rFonts w:ascii="Times New Roman" w:eastAsia="MS Gothic" w:hAnsi="Times New Roman" w:cs="Times New Roman"/>
                <w:sz w:val="24"/>
                <w:szCs w:val="24"/>
              </w:rPr>
              <w:t>Vončina, Josip: Jezična baština, Lingvostilistička hrestomatija hrvatske književnosti od kraja 15. do početka 19. st., Split, 1988.</w:t>
            </w:r>
          </w:p>
        </w:tc>
      </w:tr>
      <w:tr w:rsidR="00F679E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285839" w:rsidP="00F679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Predloženi tijekom predavanja i seminara. </w:t>
            </w:r>
          </w:p>
        </w:tc>
      </w:tr>
      <w:tr w:rsidR="00F679EE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679E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679EE" w:rsidRPr="00FF1020" w:rsidRDefault="00F679EE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679EE" w:rsidRPr="00FF1020" w:rsidRDefault="00F679EE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679E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679EE" w:rsidRPr="00FF1020" w:rsidRDefault="00F679EE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F679EE" w:rsidRPr="00FF1020" w:rsidRDefault="001218A3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679EE" w:rsidRPr="00FF1020" w:rsidRDefault="00F679EE" w:rsidP="00F679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F679EE" w:rsidRPr="00FF1020" w:rsidRDefault="001218A3" w:rsidP="00F679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F679EE" w:rsidRPr="00FF1020" w:rsidRDefault="001218A3" w:rsidP="00F679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679E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262589" w:rsidRDefault="00262589" w:rsidP="00F679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4"/>
                <w:szCs w:val="24"/>
              </w:rPr>
            </w:pPr>
            <w:r w:rsidRPr="0026258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30% istraživanje,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rad na zadatcima; </w:t>
            </w:r>
            <w:r w:rsidR="005D168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kolokviji i </w:t>
            </w:r>
            <w:r w:rsidRPr="0026258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izrada i izlaganje seminarskog rada,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a </w:t>
            </w:r>
            <w:r w:rsidRPr="00262589">
              <w:rPr>
                <w:rFonts w:ascii="Times New Roman" w:eastAsia="MS Gothic" w:hAnsi="Times New Roman" w:cs="Times New Roman"/>
                <w:sz w:val="24"/>
                <w:szCs w:val="24"/>
              </w:rPr>
              <w:t>70% završni ispit</w:t>
            </w:r>
          </w:p>
        </w:tc>
      </w:tr>
      <w:tr w:rsidR="00F679EE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679EE" w:rsidRPr="00262589" w:rsidRDefault="00262589" w:rsidP="0026258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62589">
              <w:rPr>
                <w:rFonts w:ascii="Times New Roman" w:hAnsi="Times New Roman" w:cs="Times New Roman"/>
                <w:sz w:val="18"/>
              </w:rPr>
              <w:t>0 -59</w:t>
            </w:r>
          </w:p>
        </w:tc>
        <w:tc>
          <w:tcPr>
            <w:tcW w:w="6061" w:type="dxa"/>
            <w:gridSpan w:val="27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679E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679EE" w:rsidRPr="00262589" w:rsidRDefault="00262589" w:rsidP="0026258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62589">
              <w:rPr>
                <w:rFonts w:ascii="Times New Roman" w:hAnsi="Times New Roman" w:cs="Times New Roman"/>
                <w:sz w:val="18"/>
              </w:rPr>
              <w:t>60 - 69</w:t>
            </w:r>
          </w:p>
        </w:tc>
        <w:tc>
          <w:tcPr>
            <w:tcW w:w="6061" w:type="dxa"/>
            <w:gridSpan w:val="27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679E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679EE" w:rsidRPr="00262589" w:rsidRDefault="00262589" w:rsidP="0026258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62589">
              <w:rPr>
                <w:rFonts w:ascii="Times New Roman" w:hAnsi="Times New Roman" w:cs="Times New Roman"/>
                <w:sz w:val="18"/>
              </w:rPr>
              <w:t>70 - 79</w:t>
            </w:r>
          </w:p>
        </w:tc>
        <w:tc>
          <w:tcPr>
            <w:tcW w:w="6061" w:type="dxa"/>
            <w:gridSpan w:val="27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679E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679EE" w:rsidRPr="00262589" w:rsidRDefault="00262589" w:rsidP="0026258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62589">
              <w:rPr>
                <w:rFonts w:ascii="Times New Roman" w:hAnsi="Times New Roman" w:cs="Times New Roman"/>
                <w:sz w:val="18"/>
              </w:rPr>
              <w:t>80 - 89</w:t>
            </w:r>
          </w:p>
        </w:tc>
        <w:tc>
          <w:tcPr>
            <w:tcW w:w="6061" w:type="dxa"/>
            <w:gridSpan w:val="27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679E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679EE" w:rsidRPr="00262589" w:rsidRDefault="00262589" w:rsidP="0026258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62589">
              <w:rPr>
                <w:rFonts w:ascii="Times New Roman" w:hAnsi="Times New Roman" w:cs="Times New Roman"/>
                <w:sz w:val="18"/>
              </w:rPr>
              <w:t>90 - 100</w:t>
            </w:r>
          </w:p>
        </w:tc>
        <w:tc>
          <w:tcPr>
            <w:tcW w:w="6061" w:type="dxa"/>
            <w:gridSpan w:val="27"/>
            <w:vAlign w:val="center"/>
          </w:tcPr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679EE" w:rsidRPr="00FF1020" w:rsidRDefault="001218A3" w:rsidP="00F679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679E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  <w:r w:rsidR="00262589">
              <w:rPr>
                <w:rFonts w:ascii="Merriweather" w:hAnsi="Merriweather" w:cs="Times New Roman"/>
                <w:sz w:val="18"/>
              </w:rPr>
              <w:t xml:space="preserve">  </w:t>
            </w:r>
          </w:p>
        </w:tc>
      </w:tr>
      <w:tr w:rsidR="00F679E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679EE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679EE" w:rsidRPr="00FF1020" w:rsidRDefault="00F679EE" w:rsidP="00F679E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262589" w:rsidRPr="00262589" w:rsidRDefault="00262589" w:rsidP="0026258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 xml:space="preserve">Uvjet za dobivanje potpisa i izlazak na ispit je redovito pohađanje nastave, redovito izvršavanje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studentskih 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 xml:space="preserve">veza neophodnih za uspješno provođenje nastave i seminara tijekom semestra (npr. čitanje zadane literature, provedeno samostalno istraživanje, aktivno sudjelovanje u nastavi itd.), kao i dostavljen te pozitivno ocijenjen seminarski rad prema naputcima  (8-10 stranica teksta te posebno: naslovna stranica, kazalo i popis korištene literature, prilozi, slike itd., font 12, Times New Roman, prored 1,5). Neispunjavanje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studentskih 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 xml:space="preserve">veza neophodnih za uspješno provođenje nastave i seminara u svakom pojedinačnom terminu računat će se kao izostanak s nastave. Seminarski rad mora biti dostavljen u tiskanom i elektroničkom obliku (dostaviti na </w:t>
            </w:r>
            <w:hyperlink r:id="rId9" w:history="1">
              <w:r w:rsidR="00870E3C" w:rsidRPr="00E8763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jalfirevi@unizd.hr</w:t>
              </w:r>
            </w:hyperlink>
            <w:r w:rsidR="00870E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0D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na zadani </w:t>
            </w:r>
            <w:r w:rsidR="005D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dogovoreni </w:t>
            </w:r>
            <w:r w:rsidR="00C50D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termin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>. Seminarski radovi naknadno se ne mogu dostaviti</w:t>
            </w:r>
            <w:r w:rsidR="00870E3C">
              <w:rPr>
                <w:rFonts w:ascii="Times New Roman" w:hAnsi="Times New Roman" w:cs="Times New Roman"/>
                <w:sz w:val="20"/>
                <w:szCs w:val="20"/>
              </w:rPr>
              <w:t>, tj. neće biti prihvaćeni</w:t>
            </w:r>
            <w:r w:rsidRPr="00262589">
              <w:rPr>
                <w:rFonts w:ascii="Times New Roman" w:hAnsi="Times New Roman" w:cs="Times New Roman"/>
                <w:sz w:val="20"/>
                <w:szCs w:val="20"/>
              </w:rPr>
              <w:t>. Nakon predaje, seminarski rad se više ne može ispravljati jer reprezentira ukupni rad na seminaru tijekom cijelog semestra. Negativno ocijenjen seminarski rad rezultira ukupnom ocjenom nedovoljan.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C50D11">
              <w:rPr>
                <w:rFonts w:ascii="Times New Roman" w:hAnsi="Times New Roman" w:cs="Times New Roman"/>
                <w:sz w:val="20"/>
                <w:szCs w:val="20"/>
              </w:rPr>
              <w:t>otrebno je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osebno paziti na ortografiju i ortoepiju u jezičnom izražavanju, jer se za nepoštivanje jezičnih i gramatički</w:t>
            </w:r>
            <w:r w:rsidR="00C50D11">
              <w:rPr>
                <w:rFonts w:ascii="Times New Roman" w:hAnsi="Times New Roman" w:cs="Times New Roman"/>
                <w:sz w:val="20"/>
                <w:szCs w:val="20"/>
              </w:rPr>
              <w:t xml:space="preserve">h pravila, prema normi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hrvatskog standardnog jezika</w:t>
            </w:r>
            <w:r w:rsidR="00C50D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studentima dodjeljuju negativni bodovi prilikom rješavanja zadaća ili ispita</w:t>
            </w:r>
            <w:r w:rsidR="00C50D11">
              <w:rPr>
                <w:rFonts w:ascii="Times New Roman" w:hAnsi="Times New Roman" w:cs="Times New Roman"/>
                <w:sz w:val="20"/>
                <w:szCs w:val="20"/>
              </w:rPr>
              <w:t xml:space="preserve"> te pisanja seminarskih radova</w:t>
            </w:r>
            <w:r w:rsidR="00870E3C">
              <w:rPr>
                <w:rFonts w:ascii="Times New Roman" w:hAnsi="Times New Roman" w:cs="Times New Roman"/>
                <w:sz w:val="20"/>
                <w:szCs w:val="20"/>
              </w:rPr>
              <w:t xml:space="preserve"> ili provođenja radionica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0D11">
              <w:rPr>
                <w:rFonts w:ascii="Times New Roman" w:hAnsi="Times New Roman" w:cs="Times New Roman"/>
                <w:sz w:val="20"/>
                <w:szCs w:val="20"/>
              </w:rPr>
              <w:t xml:space="preserve"> Prema zakonskoj regulativi, studenti imaju pravo na ukupno četiri ispitna roka, i to dva u ljetnom semestru, a dva u jesenskom semestru. </w:t>
            </w:r>
            <w:r w:rsidR="00870E3C">
              <w:rPr>
                <w:rFonts w:ascii="Times New Roman" w:hAnsi="Times New Roman" w:cs="Times New Roman"/>
                <w:sz w:val="20"/>
                <w:szCs w:val="20"/>
              </w:rPr>
              <w:t xml:space="preserve">Prilikom pismenog ispita studenti su upoznati s potrebom pisanja </w:t>
            </w:r>
            <w:r w:rsidR="00870E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ispita na tehnički ispravnom pomagalu (laptopu ili mobitelu) i s dostupnom internetskom vezom u učionici.  </w:t>
            </w:r>
          </w:p>
          <w:p w:rsidR="00262589" w:rsidRDefault="00262589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262589" w:rsidRDefault="00262589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679EE" w:rsidRPr="00FF1020" w:rsidRDefault="00F679EE" w:rsidP="00F679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3" w:rsidRDefault="001218A3" w:rsidP="009947BA">
      <w:pPr>
        <w:spacing w:before="0" w:after="0"/>
      </w:pPr>
      <w:r>
        <w:separator/>
      </w:r>
    </w:p>
  </w:endnote>
  <w:endnote w:type="continuationSeparator" w:id="0">
    <w:p w:rsidR="001218A3" w:rsidRDefault="001218A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3" w:rsidRDefault="001218A3" w:rsidP="009947BA">
      <w:pPr>
        <w:spacing w:before="0" w:after="0"/>
      </w:pPr>
      <w:r>
        <w:separator/>
      </w:r>
    </w:p>
  </w:footnote>
  <w:footnote w:type="continuationSeparator" w:id="0">
    <w:p w:rsidR="001218A3" w:rsidRDefault="001218A3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  <w:footnote w:id="2">
    <w:p w:rsidR="00016A93" w:rsidRDefault="00016A93">
      <w:pPr>
        <w:pStyle w:val="FootnoteText"/>
      </w:pPr>
      <w:r>
        <w:rPr>
          <w:rStyle w:val="FootnoteReference"/>
        </w:rPr>
        <w:footnoteRef/>
      </w:r>
      <w:r>
        <w:t xml:space="preserve"> U navedenom terminu slati upite elektroničkim putem.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1AAB"/>
    <w:multiLevelType w:val="hybridMultilevel"/>
    <w:tmpl w:val="54BC35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E71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F0AB9"/>
    <w:multiLevelType w:val="hybridMultilevel"/>
    <w:tmpl w:val="C8C831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E5873"/>
    <w:multiLevelType w:val="hybridMultilevel"/>
    <w:tmpl w:val="65AAC3D0"/>
    <w:lvl w:ilvl="0" w:tplc="5A5AB97C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E2ACA"/>
    <w:multiLevelType w:val="hybridMultilevel"/>
    <w:tmpl w:val="44D89076"/>
    <w:lvl w:ilvl="0" w:tplc="823EFEF2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E47"/>
    <w:multiLevelType w:val="hybridMultilevel"/>
    <w:tmpl w:val="7346D4E4"/>
    <w:lvl w:ilvl="0" w:tplc="A15E24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6A93"/>
    <w:rsid w:val="000C0578"/>
    <w:rsid w:val="000C5925"/>
    <w:rsid w:val="0010332B"/>
    <w:rsid w:val="001218A3"/>
    <w:rsid w:val="001443A2"/>
    <w:rsid w:val="00150B32"/>
    <w:rsid w:val="00197510"/>
    <w:rsid w:val="001C7C51"/>
    <w:rsid w:val="00226462"/>
    <w:rsid w:val="0022722C"/>
    <w:rsid w:val="00262589"/>
    <w:rsid w:val="0028545A"/>
    <w:rsid w:val="00285839"/>
    <w:rsid w:val="002E1CE6"/>
    <w:rsid w:val="002F2D22"/>
    <w:rsid w:val="00310F9A"/>
    <w:rsid w:val="00326091"/>
    <w:rsid w:val="00357643"/>
    <w:rsid w:val="00371634"/>
    <w:rsid w:val="00386E9C"/>
    <w:rsid w:val="00393964"/>
    <w:rsid w:val="003B22EE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5DCB"/>
    <w:rsid w:val="00527C5F"/>
    <w:rsid w:val="005353ED"/>
    <w:rsid w:val="00543596"/>
    <w:rsid w:val="005514C3"/>
    <w:rsid w:val="005D1688"/>
    <w:rsid w:val="005E1668"/>
    <w:rsid w:val="005E5F80"/>
    <w:rsid w:val="005F6E0B"/>
    <w:rsid w:val="00613CA4"/>
    <w:rsid w:val="0062328F"/>
    <w:rsid w:val="00684BBC"/>
    <w:rsid w:val="006928B1"/>
    <w:rsid w:val="00694BD5"/>
    <w:rsid w:val="006B4920"/>
    <w:rsid w:val="006B4E52"/>
    <w:rsid w:val="00700D7A"/>
    <w:rsid w:val="00721260"/>
    <w:rsid w:val="007361E7"/>
    <w:rsid w:val="007368EB"/>
    <w:rsid w:val="00736BA7"/>
    <w:rsid w:val="00754993"/>
    <w:rsid w:val="0075668C"/>
    <w:rsid w:val="0078125F"/>
    <w:rsid w:val="00794496"/>
    <w:rsid w:val="007967CC"/>
    <w:rsid w:val="0079745E"/>
    <w:rsid w:val="00797B40"/>
    <w:rsid w:val="007B4638"/>
    <w:rsid w:val="007C43A4"/>
    <w:rsid w:val="007D4D2D"/>
    <w:rsid w:val="00865776"/>
    <w:rsid w:val="00870E3C"/>
    <w:rsid w:val="00874D5D"/>
    <w:rsid w:val="00891C60"/>
    <w:rsid w:val="008942F0"/>
    <w:rsid w:val="008D45DB"/>
    <w:rsid w:val="0090214F"/>
    <w:rsid w:val="009163E6"/>
    <w:rsid w:val="00973FC0"/>
    <w:rsid w:val="009760E8"/>
    <w:rsid w:val="009947BA"/>
    <w:rsid w:val="00997F41"/>
    <w:rsid w:val="009A3A9D"/>
    <w:rsid w:val="009C56B1"/>
    <w:rsid w:val="009D5226"/>
    <w:rsid w:val="009E2FD4"/>
    <w:rsid w:val="009E4158"/>
    <w:rsid w:val="00A06750"/>
    <w:rsid w:val="00A9132B"/>
    <w:rsid w:val="00AA1A5A"/>
    <w:rsid w:val="00AD23FB"/>
    <w:rsid w:val="00B71A57"/>
    <w:rsid w:val="00B7307A"/>
    <w:rsid w:val="00C02454"/>
    <w:rsid w:val="00C136BA"/>
    <w:rsid w:val="00C3477B"/>
    <w:rsid w:val="00C50D11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27D"/>
    <w:rsid w:val="00F22855"/>
    <w:rsid w:val="00F35A27"/>
    <w:rsid w:val="00F513E0"/>
    <w:rsid w:val="00F566DA"/>
    <w:rsid w:val="00F679E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CAF47-8436-4ADB-9BE4-0E775E6B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543596"/>
    <w:rPr>
      <w:i/>
      <w:iCs/>
    </w:rPr>
  </w:style>
  <w:style w:type="character" w:styleId="Strong">
    <w:name w:val="Strong"/>
    <w:basedOn w:val="DefaultParagraphFont"/>
    <w:uiPriority w:val="22"/>
    <w:qFormat/>
    <w:rsid w:val="007B4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firevi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lfirevi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7349-66D0-4A13-87BF-37F5E6C3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Jelena</cp:lastModifiedBy>
  <cp:revision>4</cp:revision>
  <cp:lastPrinted>2021-02-12T11:27:00Z</cp:lastPrinted>
  <dcterms:created xsi:type="dcterms:W3CDTF">2023-01-25T09:43:00Z</dcterms:created>
  <dcterms:modified xsi:type="dcterms:W3CDTF">2023-01-25T09:44:00Z</dcterms:modified>
</cp:coreProperties>
</file>